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5"/>
        <w:gridCol w:w="3969"/>
        <w:gridCol w:w="1701"/>
        <w:gridCol w:w="1791"/>
        <w:tblGridChange w:id="0">
          <w:tblGrid>
            <w:gridCol w:w="1555"/>
            <w:gridCol w:w="3969"/>
            <w:gridCol w:w="1701"/>
            <w:gridCol w:w="1791"/>
          </w:tblGrid>
        </w:tblGridChange>
      </w:tblGrid>
      <w:tr>
        <w:trPr>
          <w:cantSplit w:val="0"/>
          <w:tblHeader w:val="0"/>
        </w:trPr>
        <w:tc>
          <w:tcPr/>
          <w:p w:rsidR="00000000" w:rsidDel="00000000" w:rsidP="00000000" w:rsidRDefault="00000000" w:rsidRPr="00000000" w14:paraId="00000002">
            <w:pPr>
              <w:spacing w:after="0" w:line="276" w:lineRule="auto"/>
              <w:rPr>
                <w:rFonts w:ascii="Calibri" w:cs="Calibri" w:eastAsia="Calibri" w:hAnsi="Calibri"/>
                <w:color w:val="000000"/>
              </w:rPr>
            </w:pPr>
            <w:r w:rsidDel="00000000" w:rsidR="00000000" w:rsidRPr="00000000">
              <w:rPr>
                <w:rFonts w:ascii="Arial" w:cs="Arial" w:eastAsia="Arial" w:hAnsi="Arial"/>
                <w:b w:val="1"/>
                <w:color w:val="000000"/>
                <w:rtl w:val="0"/>
              </w:rPr>
              <w:t xml:space="preserve">Job Family:</w:t>
            </w:r>
            <w:r w:rsidDel="00000000" w:rsidR="00000000" w:rsidRPr="00000000">
              <w:rPr>
                <w:rtl w:val="0"/>
              </w:rPr>
            </w:r>
          </w:p>
        </w:tc>
        <w:tc>
          <w:tcPr/>
          <w:p w:rsidR="00000000" w:rsidDel="00000000" w:rsidP="00000000" w:rsidRDefault="00000000" w:rsidRPr="00000000" w14:paraId="00000003">
            <w:pPr>
              <w:spacing w:after="0" w:line="276" w:lineRule="auto"/>
              <w:rPr>
                <w:rFonts w:ascii="Calibri" w:cs="Calibri" w:eastAsia="Calibri" w:hAnsi="Calibri"/>
                <w:color w:val="000000"/>
              </w:rPr>
            </w:pPr>
            <w:r w:rsidDel="00000000" w:rsidR="00000000" w:rsidRPr="00000000">
              <w:rPr>
                <w:rFonts w:ascii="Arial" w:cs="Arial" w:eastAsia="Arial" w:hAnsi="Arial"/>
                <w:b w:val="1"/>
                <w:color w:val="000000"/>
                <w:rtl w:val="0"/>
              </w:rPr>
              <w:t xml:space="preserve">Delivery – Front Line – </w:t>
            </w:r>
            <w:r w:rsidDel="00000000" w:rsidR="00000000" w:rsidRPr="00000000">
              <w:rPr>
                <w:rtl w:val="0"/>
              </w:rPr>
            </w:r>
          </w:p>
          <w:p w:rsidR="00000000" w:rsidDel="00000000" w:rsidP="00000000" w:rsidRDefault="00000000" w:rsidRPr="00000000" w14:paraId="00000004">
            <w:pPr>
              <w:spacing w:after="0" w:line="276" w:lineRule="auto"/>
              <w:rPr>
                <w:rFonts w:ascii="Calibri" w:cs="Calibri" w:eastAsia="Calibri" w:hAnsi="Calibri"/>
                <w:color w:val="000000"/>
              </w:rPr>
            </w:pPr>
            <w:r w:rsidDel="00000000" w:rsidR="00000000" w:rsidRPr="00000000">
              <w:rPr>
                <w:rFonts w:ascii="Arial" w:cs="Arial" w:eastAsia="Arial" w:hAnsi="Arial"/>
                <w:b w:val="1"/>
                <w:color w:val="000000"/>
                <w:rtl w:val="0"/>
              </w:rPr>
              <w:t xml:space="preserve">Professional knowledge</w:t>
            </w:r>
            <w:r w:rsidDel="00000000" w:rsidR="00000000" w:rsidRPr="00000000">
              <w:rPr>
                <w:rtl w:val="0"/>
              </w:rPr>
            </w:r>
          </w:p>
        </w:tc>
        <w:tc>
          <w:tcPr/>
          <w:p w:rsidR="00000000" w:rsidDel="00000000" w:rsidP="00000000" w:rsidRDefault="00000000" w:rsidRPr="00000000" w14:paraId="00000005">
            <w:pPr>
              <w:spacing w:after="0" w:line="276" w:lineRule="auto"/>
              <w:rPr>
                <w:rFonts w:ascii="Calibri" w:cs="Calibri" w:eastAsia="Calibri" w:hAnsi="Calibri"/>
                <w:color w:val="000000"/>
              </w:rPr>
            </w:pPr>
            <w:r w:rsidDel="00000000" w:rsidR="00000000" w:rsidRPr="00000000">
              <w:rPr>
                <w:rFonts w:ascii="Arial" w:cs="Arial" w:eastAsia="Arial" w:hAnsi="Arial"/>
                <w:b w:val="1"/>
                <w:color w:val="000000"/>
                <w:rtl w:val="0"/>
              </w:rPr>
              <w:t xml:space="preserve">Grade:</w:t>
            </w:r>
            <w:r w:rsidDel="00000000" w:rsidR="00000000" w:rsidRPr="00000000">
              <w:rPr>
                <w:rtl w:val="0"/>
              </w:rPr>
            </w:r>
          </w:p>
        </w:tc>
        <w:tc>
          <w:tcPr/>
          <w:p w:rsidR="00000000" w:rsidDel="00000000" w:rsidP="00000000" w:rsidRDefault="00000000" w:rsidRPr="00000000" w14:paraId="00000006">
            <w:pPr>
              <w:spacing w:after="0" w:line="276" w:lineRule="auto"/>
              <w:rPr>
                <w:rFonts w:ascii="Calibri" w:cs="Calibri" w:eastAsia="Calibri" w:hAnsi="Calibri"/>
                <w:color w:val="000000"/>
              </w:rPr>
            </w:pPr>
            <w:r w:rsidDel="00000000" w:rsidR="00000000" w:rsidRPr="00000000">
              <w:rPr>
                <w:rFonts w:ascii="Arial" w:cs="Arial" w:eastAsia="Arial" w:hAnsi="Arial"/>
                <w:b w:val="1"/>
                <w:color w:val="000000"/>
                <w:rtl w:val="0"/>
              </w:rPr>
              <w:t xml:space="preserve">8</w:t>
            </w:r>
            <w:r w:rsidDel="00000000" w:rsidR="00000000" w:rsidRPr="00000000">
              <w:rPr>
                <w:rtl w:val="0"/>
              </w:rPr>
            </w:r>
          </w:p>
        </w:tc>
      </w:tr>
      <w:tr>
        <w:trPr>
          <w:cantSplit w:val="0"/>
          <w:tblHeader w:val="0"/>
        </w:trPr>
        <w:tc>
          <w:tcPr/>
          <w:p w:rsidR="00000000" w:rsidDel="00000000" w:rsidP="00000000" w:rsidRDefault="00000000" w:rsidRPr="00000000" w14:paraId="00000007">
            <w:pPr>
              <w:spacing w:after="0" w:line="276" w:lineRule="auto"/>
              <w:rPr>
                <w:rFonts w:ascii="Calibri" w:cs="Calibri" w:eastAsia="Calibri" w:hAnsi="Calibri"/>
                <w:color w:val="000000"/>
              </w:rPr>
            </w:pPr>
            <w:r w:rsidDel="00000000" w:rsidR="00000000" w:rsidRPr="00000000">
              <w:rPr>
                <w:rFonts w:ascii="Arial" w:cs="Arial" w:eastAsia="Arial" w:hAnsi="Arial"/>
                <w:b w:val="1"/>
                <w:color w:val="000000"/>
                <w:rtl w:val="0"/>
              </w:rPr>
              <w:t xml:space="preserve">Job Title:</w:t>
            </w:r>
            <w:r w:rsidDel="00000000" w:rsidR="00000000" w:rsidRPr="00000000">
              <w:rPr>
                <w:rtl w:val="0"/>
              </w:rPr>
            </w:r>
          </w:p>
        </w:tc>
        <w:tc>
          <w:tcPr/>
          <w:p w:rsidR="00000000" w:rsidDel="00000000" w:rsidP="00000000" w:rsidRDefault="00000000" w:rsidRPr="00000000" w14:paraId="00000008">
            <w:pPr>
              <w:spacing w:after="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Community Nurse – Learning Disabilities</w:t>
            </w:r>
          </w:p>
          <w:p w:rsidR="00000000" w:rsidDel="00000000" w:rsidP="00000000" w:rsidRDefault="00000000" w:rsidRPr="00000000" w14:paraId="00000009">
            <w:pPr>
              <w:spacing w:after="0" w:line="276" w:lineRule="auto"/>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0A">
            <w:pPr>
              <w:spacing w:after="0" w:line="276" w:lineRule="auto"/>
              <w:rPr>
                <w:rFonts w:ascii="Calibri" w:cs="Calibri" w:eastAsia="Calibri" w:hAnsi="Calibri"/>
                <w:color w:val="000000"/>
              </w:rPr>
            </w:pPr>
            <w:r w:rsidDel="00000000" w:rsidR="00000000" w:rsidRPr="00000000">
              <w:rPr>
                <w:rFonts w:ascii="Arial" w:cs="Arial" w:eastAsia="Arial" w:hAnsi="Arial"/>
                <w:b w:val="1"/>
                <w:color w:val="000000"/>
                <w:rtl w:val="0"/>
              </w:rPr>
              <w:t xml:space="preserve">Directorate:</w:t>
            </w:r>
            <w:r w:rsidDel="00000000" w:rsidR="00000000" w:rsidRPr="00000000">
              <w:rPr>
                <w:rtl w:val="0"/>
              </w:rPr>
            </w:r>
          </w:p>
        </w:tc>
        <w:tc>
          <w:tcPr/>
          <w:p w:rsidR="00000000" w:rsidDel="00000000" w:rsidP="00000000" w:rsidRDefault="00000000" w:rsidRPr="00000000" w14:paraId="0000000B">
            <w:pPr>
              <w:spacing w:after="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People</w:t>
            </w:r>
          </w:p>
        </w:tc>
      </w:tr>
      <w:tr>
        <w:trPr>
          <w:cantSplit w:val="0"/>
          <w:tblHeader w:val="0"/>
        </w:trPr>
        <w:tc>
          <w:tcPr/>
          <w:p w:rsidR="00000000" w:rsidDel="00000000" w:rsidP="00000000" w:rsidRDefault="00000000" w:rsidRPr="00000000" w14:paraId="0000000C">
            <w:pPr>
              <w:spacing w:after="0" w:line="276" w:lineRule="auto"/>
              <w:rPr>
                <w:rFonts w:ascii="Calibri" w:cs="Calibri" w:eastAsia="Calibri" w:hAnsi="Calibri"/>
                <w:color w:val="000000"/>
              </w:rPr>
            </w:pPr>
            <w:r w:rsidDel="00000000" w:rsidR="00000000" w:rsidRPr="00000000">
              <w:rPr>
                <w:rFonts w:ascii="Arial" w:cs="Arial" w:eastAsia="Arial" w:hAnsi="Arial"/>
                <w:b w:val="1"/>
                <w:color w:val="000000"/>
                <w:rtl w:val="0"/>
              </w:rPr>
              <w:t xml:space="preserve">Date:</w:t>
            </w:r>
            <w:r w:rsidDel="00000000" w:rsidR="00000000" w:rsidRPr="00000000">
              <w:rPr>
                <w:rtl w:val="0"/>
              </w:rPr>
            </w:r>
          </w:p>
        </w:tc>
        <w:tc>
          <w:tcPr/>
          <w:p w:rsidR="00000000" w:rsidDel="00000000" w:rsidP="00000000" w:rsidRDefault="00000000" w:rsidRPr="00000000" w14:paraId="0000000D">
            <w:pPr>
              <w:spacing w:after="0" w:line="276" w:lineRule="auto"/>
              <w:rPr>
                <w:rFonts w:ascii="Calibri" w:cs="Calibri" w:eastAsia="Calibri" w:hAnsi="Calibri"/>
                <w:color w:val="000000"/>
              </w:rPr>
            </w:pPr>
            <w:r w:rsidDel="00000000" w:rsidR="00000000" w:rsidRPr="00000000">
              <w:rPr>
                <w:rFonts w:ascii="Arial" w:cs="Arial" w:eastAsia="Arial" w:hAnsi="Arial"/>
                <w:b w:val="1"/>
                <w:color w:val="000000"/>
                <w:rtl w:val="0"/>
              </w:rPr>
              <w:t xml:space="preserve">October 2016</w:t>
            </w:r>
            <w:r w:rsidDel="00000000" w:rsidR="00000000" w:rsidRPr="00000000">
              <w:rPr>
                <w:rtl w:val="0"/>
              </w:rPr>
            </w:r>
          </w:p>
        </w:tc>
        <w:tc>
          <w:tcPr/>
          <w:p w:rsidR="00000000" w:rsidDel="00000000" w:rsidP="00000000" w:rsidRDefault="00000000" w:rsidRPr="00000000" w14:paraId="0000000E">
            <w:pPr>
              <w:spacing w:after="0" w:line="276" w:lineRule="auto"/>
              <w:rPr>
                <w:rFonts w:ascii="Calibri" w:cs="Calibri" w:eastAsia="Calibri" w:hAnsi="Calibri"/>
                <w:color w:val="000000"/>
              </w:rPr>
            </w:pPr>
            <w:r w:rsidDel="00000000" w:rsidR="00000000" w:rsidRPr="00000000">
              <w:rPr>
                <w:rFonts w:ascii="Arial" w:cs="Arial" w:eastAsia="Arial" w:hAnsi="Arial"/>
                <w:b w:val="1"/>
                <w:color w:val="000000"/>
                <w:rtl w:val="0"/>
              </w:rPr>
              <w:t xml:space="preserve">Version:</w:t>
            </w:r>
            <w:r w:rsidDel="00000000" w:rsidR="00000000" w:rsidRPr="00000000">
              <w:rPr>
                <w:rtl w:val="0"/>
              </w:rPr>
            </w:r>
          </w:p>
        </w:tc>
        <w:tc>
          <w:tcPr/>
          <w:p w:rsidR="00000000" w:rsidDel="00000000" w:rsidP="00000000" w:rsidRDefault="00000000" w:rsidRPr="00000000" w14:paraId="0000000F">
            <w:pPr>
              <w:spacing w:after="0" w:line="276" w:lineRule="auto"/>
              <w:rPr>
                <w:rFonts w:ascii="Calibri" w:cs="Calibri" w:eastAsia="Calibri" w:hAnsi="Calibri"/>
                <w:color w:val="000000"/>
              </w:rPr>
            </w:pPr>
            <w:r w:rsidDel="00000000" w:rsidR="00000000" w:rsidRPr="00000000">
              <w:rPr>
                <w:rFonts w:ascii="Arial" w:cs="Arial" w:eastAsia="Arial" w:hAnsi="Arial"/>
                <w:b w:val="1"/>
                <w:color w:val="000000"/>
                <w:rtl w:val="0"/>
              </w:rPr>
              <w:t xml:space="preserve">1:1</w:t>
            </w:r>
            <w:r w:rsidDel="00000000" w:rsidR="00000000" w:rsidRPr="00000000">
              <w:rPr>
                <w:rtl w:val="0"/>
              </w:rPr>
            </w:r>
          </w:p>
          <w:p w:rsidR="00000000" w:rsidDel="00000000" w:rsidP="00000000" w:rsidRDefault="00000000" w:rsidRPr="00000000" w14:paraId="00000010">
            <w:pPr>
              <w:spacing w:after="0" w:line="276" w:lineRule="auto"/>
              <w:rPr>
                <w:rFonts w:ascii="Calibri" w:cs="Calibri" w:eastAsia="Calibri" w:hAnsi="Calibri"/>
                <w:color w:val="000000"/>
              </w:rPr>
            </w:pPr>
            <w:r w:rsidDel="00000000" w:rsidR="00000000" w:rsidRPr="00000000">
              <w:rPr>
                <w:rtl w:val="0"/>
              </w:rPr>
            </w:r>
          </w:p>
        </w:tc>
      </w:tr>
      <w:tr>
        <w:trPr>
          <w:cantSplit w:val="0"/>
          <w:tblHeader w:val="0"/>
        </w:trPr>
        <w:tc>
          <w:tcPr>
            <w:gridSpan w:val="4"/>
            <w:shd w:fill="339966" w:val="clear"/>
          </w:tcPr>
          <w:p w:rsidR="00000000" w:rsidDel="00000000" w:rsidP="00000000" w:rsidRDefault="00000000" w:rsidRPr="00000000" w14:paraId="00000011">
            <w:pPr>
              <w:spacing w:after="0" w:line="276" w:lineRule="auto"/>
              <w:rPr>
                <w:rFonts w:ascii="Calibri" w:cs="Calibri" w:eastAsia="Calibri" w:hAnsi="Calibri"/>
                <w:color w:val="00000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15">
            <w:pPr>
              <w:spacing w:after="0" w:line="276" w:lineRule="auto"/>
              <w:rPr>
                <w:rFonts w:ascii="Calibri" w:cs="Calibri" w:eastAsia="Calibri" w:hAnsi="Calibri"/>
                <w:color w:val="000000"/>
              </w:rPr>
            </w:pPr>
            <w:r w:rsidDel="00000000" w:rsidR="00000000" w:rsidRPr="00000000">
              <w:rPr>
                <w:rFonts w:ascii="Arial" w:cs="Arial" w:eastAsia="Arial" w:hAnsi="Arial"/>
                <w:b w:val="1"/>
                <w:color w:val="000000"/>
                <w:sz w:val="20"/>
                <w:szCs w:val="20"/>
                <w:rtl w:val="0"/>
              </w:rPr>
              <w:t xml:space="preserve">Role Profile - Details Specific to Job Family</w:t>
            </w:r>
            <w:r w:rsidDel="00000000" w:rsidR="00000000" w:rsidRPr="00000000">
              <w:rPr>
                <w:rtl w:val="0"/>
              </w:rPr>
            </w:r>
          </w:p>
        </w:tc>
      </w:tr>
      <w:tr>
        <w:trPr>
          <w:cantSplit w:val="0"/>
          <w:tblHeader w:val="0"/>
        </w:trPr>
        <w:tc>
          <w:tcPr>
            <w:gridSpan w:val="4"/>
          </w:tcPr>
          <w:p w:rsidR="00000000" w:rsidDel="00000000" w:rsidP="00000000" w:rsidRDefault="00000000" w:rsidRPr="00000000" w14:paraId="00000019">
            <w:pPr>
              <w:spacing w:after="0" w:line="276" w:lineRule="auto"/>
              <w:rPr>
                <w:rFonts w:ascii="Calibri" w:cs="Calibri" w:eastAsia="Calibri" w:hAnsi="Calibri"/>
                <w:color w:val="000000"/>
              </w:rPr>
            </w:pPr>
            <w:r w:rsidDel="00000000" w:rsidR="00000000" w:rsidRPr="00000000">
              <w:rPr>
                <w:rFonts w:ascii="Arial" w:cs="Arial" w:eastAsia="Arial" w:hAnsi="Arial"/>
                <w:color w:val="000000"/>
                <w:sz w:val="20"/>
                <w:szCs w:val="20"/>
                <w:rtl w:val="0"/>
              </w:rPr>
              <w:t xml:space="preserve">These roles would be regarded as “front line” service delivery roles. Here, role holders are directly accountable for performance, often through the direct control of significant resources or through managed contracts.  These roles may also deliver some of their results through collaborative working with co-producers or other third party agencies.  </w:t>
            </w:r>
            <w:r w:rsidDel="00000000" w:rsidR="00000000" w:rsidRPr="00000000">
              <w:rPr>
                <w:rtl w:val="0"/>
              </w:rPr>
            </w:r>
          </w:p>
          <w:p w:rsidR="00000000" w:rsidDel="00000000" w:rsidP="00000000" w:rsidRDefault="00000000" w:rsidRPr="00000000" w14:paraId="0000001A">
            <w:pPr>
              <w:spacing w:after="0"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B">
            <w:pPr>
              <w:spacing w:after="200" w:line="276" w:lineRule="auto"/>
              <w:rPr>
                <w:rFonts w:ascii="Calibri" w:cs="Calibri" w:eastAsia="Calibri" w:hAnsi="Calibri"/>
                <w:color w:val="000000"/>
              </w:rPr>
            </w:pPr>
            <w:r w:rsidDel="00000000" w:rsidR="00000000" w:rsidRPr="00000000">
              <w:rPr>
                <w:rFonts w:ascii="Arial" w:cs="Arial" w:eastAsia="Arial" w:hAnsi="Arial"/>
                <w:color w:val="000000"/>
                <w:sz w:val="20"/>
                <w:szCs w:val="20"/>
                <w:rtl w:val="0"/>
              </w:rPr>
              <w:t xml:space="preserve">At the lower levels, operational managers may oversee a department or team and at the lowest levels, direct contact with service users will be a common feature of roles in this job family.  At the higher levels, they may be in charge of a department, large operational area or the management of significant contracts and may be ultimately accountable for ensuring compliance with statutory obligations.</w:t>
            </w:r>
            <w:r w:rsidDel="00000000" w:rsidR="00000000" w:rsidRPr="00000000">
              <w:rPr>
                <w:rtl w:val="0"/>
              </w:rPr>
            </w:r>
          </w:p>
          <w:p w:rsidR="00000000" w:rsidDel="00000000" w:rsidP="00000000" w:rsidRDefault="00000000" w:rsidRPr="00000000" w14:paraId="0000001C">
            <w:pPr>
              <w:spacing w:after="0" w:line="276" w:lineRule="auto"/>
              <w:rPr>
                <w:rFonts w:ascii="Calibri" w:cs="Calibri" w:eastAsia="Calibri" w:hAnsi="Calibri"/>
                <w:color w:val="00000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20">
            <w:pPr>
              <w:spacing w:after="0" w:line="276" w:lineRule="auto"/>
              <w:rPr>
                <w:rFonts w:ascii="Calibri" w:cs="Calibri" w:eastAsia="Calibri" w:hAnsi="Calibri"/>
                <w:color w:val="000000"/>
              </w:rPr>
            </w:pPr>
            <w:r w:rsidDel="00000000" w:rsidR="00000000" w:rsidRPr="00000000">
              <w:rPr>
                <w:rFonts w:ascii="Arial" w:cs="Arial" w:eastAsia="Arial" w:hAnsi="Arial"/>
                <w:b w:val="1"/>
                <w:color w:val="000000"/>
                <w:sz w:val="20"/>
                <w:szCs w:val="20"/>
                <w:rtl w:val="0"/>
              </w:rPr>
              <w:t xml:space="preserve">Role Profile - Details Specific to Grade</w:t>
            </w:r>
            <w:r w:rsidDel="00000000" w:rsidR="00000000" w:rsidRPr="00000000">
              <w:rPr>
                <w:rtl w:val="0"/>
              </w:rPr>
            </w:r>
          </w:p>
        </w:tc>
      </w:tr>
      <w:tr>
        <w:trPr>
          <w:cantSplit w:val="0"/>
          <w:tblHeader w:val="0"/>
        </w:trPr>
        <w:tc>
          <w:tcPr>
            <w:gridSpan w:val="4"/>
          </w:tcPr>
          <w:p w:rsidR="00000000" w:rsidDel="00000000" w:rsidP="00000000" w:rsidRDefault="00000000" w:rsidRPr="00000000" w14:paraId="00000024">
            <w:pPr>
              <w:spacing w:after="0" w:line="276" w:lineRule="auto"/>
              <w:rPr>
                <w:rFonts w:ascii="Calibri" w:cs="Calibri" w:eastAsia="Calibri" w:hAnsi="Calibri"/>
                <w:color w:val="000000"/>
              </w:rPr>
            </w:pPr>
            <w:r w:rsidDel="00000000" w:rsidR="00000000" w:rsidRPr="00000000">
              <w:rPr>
                <w:rFonts w:ascii="Arial" w:cs="Arial" w:eastAsia="Arial" w:hAnsi="Arial"/>
                <w:color w:val="000000"/>
                <w:sz w:val="20"/>
                <w:szCs w:val="20"/>
                <w:rtl w:val="0"/>
              </w:rPr>
              <w:t xml:space="preserve">Will have accountability for achieving clearly specified and measurable results either personally or through the leadership of a team.  Will be dealing with complex problems and issues within the boundaries of professional skill and knowledge. Will make recommendations on procedural improvements and other initiatives to enhance team performance.</w:t>
            </w:r>
            <w:r w:rsidDel="00000000" w:rsidR="00000000" w:rsidRPr="00000000">
              <w:rPr>
                <w:rtl w:val="0"/>
              </w:rPr>
            </w:r>
          </w:p>
          <w:p w:rsidR="00000000" w:rsidDel="00000000" w:rsidP="00000000" w:rsidRDefault="00000000" w:rsidRPr="00000000" w14:paraId="00000025">
            <w:pPr>
              <w:spacing w:after="0"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6">
            <w:pPr>
              <w:spacing w:after="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Roles requiring a level of professional expertise to deliver a front line service.</w:t>
            </w:r>
          </w:p>
          <w:p w:rsidR="00000000" w:rsidDel="00000000" w:rsidP="00000000" w:rsidRDefault="00000000" w:rsidRPr="00000000" w14:paraId="00000027">
            <w:pPr>
              <w:spacing w:after="0" w:line="240" w:lineRule="auto"/>
              <w:rPr>
                <w:rFonts w:ascii="Calibri" w:cs="Calibri" w:eastAsia="Calibri" w:hAnsi="Calibri"/>
                <w:color w:val="00000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2B">
            <w:pPr>
              <w:spacing w:after="0" w:line="276" w:lineRule="auto"/>
              <w:rPr>
                <w:rFonts w:ascii="Calibri" w:cs="Calibri" w:eastAsia="Calibri" w:hAnsi="Calibri"/>
                <w:color w:val="000000"/>
              </w:rPr>
            </w:pPr>
            <w:r w:rsidDel="00000000" w:rsidR="00000000" w:rsidRPr="00000000">
              <w:rPr>
                <w:rFonts w:ascii="Arial" w:cs="Arial" w:eastAsia="Arial" w:hAnsi="Arial"/>
                <w:b w:val="1"/>
                <w:color w:val="000000"/>
                <w:sz w:val="20"/>
                <w:szCs w:val="20"/>
                <w:rtl w:val="0"/>
              </w:rPr>
              <w:t xml:space="preserve">Brief Description of job role and department</w:t>
            </w:r>
            <w:r w:rsidDel="00000000" w:rsidR="00000000" w:rsidRPr="00000000">
              <w:rPr>
                <w:rtl w:val="0"/>
              </w:rPr>
            </w:r>
          </w:p>
        </w:tc>
      </w:tr>
      <w:tr>
        <w:trPr>
          <w:cantSplit w:val="0"/>
          <w:tblHeader w:val="0"/>
        </w:trPr>
        <w:tc>
          <w:tcPr>
            <w:gridSpan w:val="4"/>
          </w:tcPr>
          <w:p w:rsidR="00000000" w:rsidDel="00000000" w:rsidP="00000000" w:rsidRDefault="00000000" w:rsidRPr="00000000" w14:paraId="0000002F">
            <w:pPr>
              <w:spacing w:after="0" w:line="240" w:lineRule="auto"/>
              <w:ind w:left="720" w:firstLine="0"/>
              <w:jc w:val="both"/>
              <w:rPr/>
            </w:pPr>
            <w:r w:rsidDel="00000000" w:rsidR="00000000" w:rsidRPr="00000000">
              <w:rPr>
                <w:sz w:val="24"/>
                <w:szCs w:val="24"/>
                <w:rtl w:val="0"/>
              </w:rPr>
              <w:t xml:space="preserve">The Clinical Health Team is a specialist health service for adults with learning disabilities whose health needs cannot be met by mainstream health services. We employ a range of health professionals in order to meet those needs.</w:t>
            </w:r>
            <w:r w:rsidDel="00000000" w:rsidR="00000000" w:rsidRPr="00000000">
              <w:rPr>
                <w:rtl w:val="0"/>
              </w:rPr>
            </w:r>
          </w:p>
          <w:p w:rsidR="00000000" w:rsidDel="00000000" w:rsidP="00000000" w:rsidRDefault="00000000" w:rsidRPr="00000000" w14:paraId="00000030">
            <w:pPr>
              <w:spacing w:after="0" w:line="240" w:lineRule="auto"/>
              <w:ind w:left="720" w:firstLine="0"/>
              <w:jc w:val="both"/>
              <w:rPr/>
            </w:pPr>
            <w:r w:rsidDel="00000000" w:rsidR="00000000" w:rsidRPr="00000000">
              <w:rPr>
                <w:rtl w:val="0"/>
              </w:rPr>
            </w:r>
          </w:p>
          <w:p w:rsidR="00000000" w:rsidDel="00000000" w:rsidP="00000000" w:rsidRDefault="00000000" w:rsidRPr="00000000" w14:paraId="00000031">
            <w:pPr>
              <w:spacing w:after="0" w:line="240" w:lineRule="auto"/>
              <w:ind w:left="720" w:firstLine="0"/>
              <w:jc w:val="left"/>
              <w:rPr/>
            </w:pPr>
            <w:r w:rsidDel="00000000" w:rsidR="00000000" w:rsidRPr="00000000">
              <w:rPr>
                <w:sz w:val="24"/>
                <w:szCs w:val="24"/>
                <w:rtl w:val="0"/>
              </w:rPr>
              <w:t xml:space="preserve"> The team provides services to those adults with learning disabilities registered with a Sutton GP.</w:t>
            </w:r>
            <w:r w:rsidDel="00000000" w:rsidR="00000000" w:rsidRPr="00000000">
              <w:rPr>
                <w:rtl w:val="0"/>
              </w:rPr>
            </w:r>
          </w:p>
          <w:p w:rsidR="00000000" w:rsidDel="00000000" w:rsidP="00000000" w:rsidRDefault="00000000" w:rsidRPr="00000000" w14:paraId="00000032">
            <w:pPr>
              <w:spacing w:after="0" w:line="240" w:lineRule="auto"/>
              <w:ind w:left="720" w:firstLine="0"/>
              <w:jc w:val="left"/>
              <w:rPr/>
            </w:pPr>
            <w:r w:rsidDel="00000000" w:rsidR="00000000" w:rsidRPr="00000000">
              <w:rPr>
                <w:rtl w:val="0"/>
              </w:rPr>
            </w:r>
          </w:p>
          <w:p w:rsidR="00000000" w:rsidDel="00000000" w:rsidP="00000000" w:rsidRDefault="00000000" w:rsidRPr="00000000" w14:paraId="00000033">
            <w:pPr>
              <w:spacing w:after="0" w:line="240" w:lineRule="auto"/>
              <w:ind w:left="720" w:firstLine="0"/>
              <w:jc w:val="both"/>
              <w:rPr/>
            </w:pPr>
            <w:r w:rsidDel="00000000" w:rsidR="00000000" w:rsidRPr="00000000">
              <w:rPr>
                <w:rtl w:val="0"/>
              </w:rPr>
              <w:t xml:space="preserve">Team Functions</w:t>
            </w:r>
          </w:p>
          <w:p w:rsidR="00000000" w:rsidDel="00000000" w:rsidP="00000000" w:rsidRDefault="00000000" w:rsidRPr="00000000" w14:paraId="00000034">
            <w:pPr>
              <w:numPr>
                <w:ilvl w:val="0"/>
                <w:numId w:val="4"/>
              </w:numPr>
              <w:spacing w:after="0" w:line="240" w:lineRule="auto"/>
              <w:ind w:left="1080" w:hanging="360"/>
              <w:rPr/>
            </w:pPr>
            <w:r w:rsidDel="00000000" w:rsidR="00000000" w:rsidRPr="00000000">
              <w:rPr>
                <w:rtl w:val="0"/>
              </w:rPr>
              <w:t xml:space="preserve">The delivery of health inputs provided by trained clinicians specialist in the field of learning disabilities where needs cannot be met by mainstream services alone.</w:t>
            </w:r>
          </w:p>
          <w:p w:rsidR="00000000" w:rsidDel="00000000" w:rsidP="00000000" w:rsidRDefault="00000000" w:rsidRPr="00000000" w14:paraId="00000035">
            <w:pPr>
              <w:numPr>
                <w:ilvl w:val="0"/>
                <w:numId w:val="4"/>
              </w:numPr>
              <w:spacing w:after="0" w:line="240" w:lineRule="auto"/>
              <w:ind w:left="1080" w:hanging="360"/>
              <w:rPr/>
            </w:pPr>
            <w:r w:rsidDel="00000000" w:rsidR="00000000" w:rsidRPr="00000000">
              <w:rPr>
                <w:rtl w:val="0"/>
              </w:rPr>
              <w:t xml:space="preserve">Promoting well being through activities such as health promotion and preventative lifestyle activity.</w:t>
            </w:r>
          </w:p>
          <w:p w:rsidR="00000000" w:rsidDel="00000000" w:rsidP="00000000" w:rsidRDefault="00000000" w:rsidRPr="00000000" w14:paraId="00000036">
            <w:pPr>
              <w:numPr>
                <w:ilvl w:val="0"/>
                <w:numId w:val="4"/>
              </w:numPr>
              <w:spacing w:after="0" w:line="240" w:lineRule="auto"/>
              <w:ind w:left="1080" w:hanging="360"/>
              <w:rPr/>
            </w:pPr>
            <w:r w:rsidDel="00000000" w:rsidR="00000000" w:rsidRPr="00000000">
              <w:rPr>
                <w:rtl w:val="0"/>
              </w:rPr>
              <w:t xml:space="preserve">Facilitating access to mainstream services and supports such as; primary care; acute care; leisure opportunities: housing; etc. </w:t>
            </w:r>
          </w:p>
          <w:p w:rsidR="00000000" w:rsidDel="00000000" w:rsidP="00000000" w:rsidRDefault="00000000" w:rsidRPr="00000000" w14:paraId="00000037">
            <w:pPr>
              <w:numPr>
                <w:ilvl w:val="0"/>
                <w:numId w:val="4"/>
              </w:numPr>
              <w:spacing w:after="0" w:line="240" w:lineRule="auto"/>
              <w:ind w:left="1080" w:hanging="360"/>
              <w:rPr/>
            </w:pPr>
            <w:r w:rsidDel="00000000" w:rsidR="00000000" w:rsidRPr="00000000">
              <w:rPr>
                <w:rtl w:val="0"/>
              </w:rPr>
              <w:t xml:space="preserve">Contributing to service developments and using knowledge about needs; effectiveness of current services and future demand to inform and contribute towards strategic commissioning.</w:t>
            </w:r>
          </w:p>
          <w:p w:rsidR="00000000" w:rsidDel="00000000" w:rsidP="00000000" w:rsidRDefault="00000000" w:rsidRPr="00000000" w14:paraId="00000038">
            <w:pPr>
              <w:numPr>
                <w:ilvl w:val="0"/>
                <w:numId w:val="4"/>
              </w:numPr>
              <w:spacing w:after="0" w:line="240" w:lineRule="auto"/>
              <w:ind w:left="1080" w:hanging="360"/>
              <w:rPr/>
            </w:pPr>
            <w:r w:rsidDel="00000000" w:rsidR="00000000" w:rsidRPr="00000000">
              <w:rPr>
                <w:rtl w:val="0"/>
              </w:rPr>
              <w:t xml:space="preserve">Imparting skills by teaching and training others such as social care providers; voluntary sector staff; and other health professionals.  </w:t>
            </w:r>
          </w:p>
          <w:p w:rsidR="00000000" w:rsidDel="00000000" w:rsidP="00000000" w:rsidRDefault="00000000" w:rsidRPr="00000000" w14:paraId="00000039">
            <w:pPr>
              <w:spacing w:after="0" w:line="240" w:lineRule="auto"/>
              <w:ind w:left="1080" w:firstLine="0"/>
              <w:rPr/>
            </w:pPr>
            <w:r w:rsidDel="00000000" w:rsidR="00000000" w:rsidRPr="00000000">
              <w:rPr>
                <w:rtl w:val="0"/>
              </w:rPr>
            </w:r>
          </w:p>
          <w:p w:rsidR="00000000" w:rsidDel="00000000" w:rsidP="00000000" w:rsidRDefault="00000000" w:rsidRPr="00000000" w14:paraId="0000003A">
            <w:pPr>
              <w:spacing w:after="0" w:line="240" w:lineRule="auto"/>
              <w:rPr/>
            </w:pPr>
            <w:r w:rsidDel="00000000" w:rsidR="00000000" w:rsidRPr="00000000">
              <w:rPr>
                <w:rtl w:val="0"/>
              </w:rPr>
              <w:t xml:space="preserve">Role</w:t>
            </w:r>
          </w:p>
          <w:p w:rsidR="00000000" w:rsidDel="00000000" w:rsidP="00000000" w:rsidRDefault="00000000" w:rsidRPr="00000000" w14:paraId="0000003B">
            <w:pPr>
              <w:spacing w:after="0" w:line="240" w:lineRule="auto"/>
              <w:rPr/>
            </w:pPr>
            <w:r w:rsidDel="00000000" w:rsidR="00000000" w:rsidRPr="00000000">
              <w:rPr>
                <w:rtl w:val="0"/>
              </w:rPr>
              <w:t xml:space="preserve">The Clinical Health Team Nursing team is responsible for reducing health inequalities and improving access to mainstream health services. This is achieved through partnership working with Primary, Secondary and Tertiary services and the development of initiatives to support improvements in the delivery of service/care.</w:t>
            </w:r>
          </w:p>
          <w:p w:rsidR="00000000" w:rsidDel="00000000" w:rsidP="00000000" w:rsidRDefault="00000000" w:rsidRPr="00000000" w14:paraId="0000003C">
            <w:pPr>
              <w:spacing w:after="0" w:line="240" w:lineRule="auto"/>
              <w:ind w:left="720" w:firstLine="0"/>
              <w:jc w:val="both"/>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40">
            <w:pPr>
              <w:spacing w:after="0" w:line="276" w:lineRule="auto"/>
              <w:rPr>
                <w:rFonts w:ascii="Calibri" w:cs="Calibri" w:eastAsia="Calibri" w:hAnsi="Calibri"/>
                <w:color w:val="000000"/>
              </w:rPr>
            </w:pPr>
            <w:r w:rsidDel="00000000" w:rsidR="00000000" w:rsidRPr="00000000">
              <w:rPr>
                <w:rFonts w:ascii="Arial" w:cs="Arial" w:eastAsia="Arial" w:hAnsi="Arial"/>
                <w:b w:val="1"/>
                <w:color w:val="000000"/>
                <w:sz w:val="20"/>
                <w:szCs w:val="20"/>
                <w:rtl w:val="0"/>
              </w:rPr>
              <w:t xml:space="preserve">Representative accountabilities</w:t>
            </w:r>
            <w:r w:rsidDel="00000000" w:rsidR="00000000" w:rsidRPr="00000000">
              <w:rPr>
                <w:rtl w:val="0"/>
              </w:rPr>
            </w:r>
          </w:p>
        </w:tc>
      </w:tr>
      <w:tr>
        <w:trPr>
          <w:cantSplit w:val="0"/>
          <w:tblHeader w:val="0"/>
        </w:trPr>
        <w:tc>
          <w:tcPr>
            <w:gridSpan w:val="4"/>
          </w:tcPr>
          <w:p w:rsidR="00000000" w:rsidDel="00000000" w:rsidP="00000000" w:rsidRDefault="00000000" w:rsidRPr="00000000" w14:paraId="00000044">
            <w:pPr>
              <w:spacing w:after="0" w:before="100" w:line="240" w:lineRule="auto"/>
              <w:ind w:left="360" w:firstLine="0"/>
              <w:rPr>
                <w:color w:val="000000"/>
              </w:rPr>
            </w:pPr>
            <w:r w:rsidDel="00000000" w:rsidR="00000000" w:rsidRPr="00000000">
              <w:rPr>
                <w:rtl w:val="0"/>
              </w:rPr>
            </w:r>
          </w:p>
          <w:p w:rsidR="00000000" w:rsidDel="00000000" w:rsidP="00000000" w:rsidRDefault="00000000" w:rsidRPr="00000000" w14:paraId="00000045">
            <w:pPr>
              <w:numPr>
                <w:ilvl w:val="0"/>
                <w:numId w:val="6"/>
              </w:numPr>
              <w:spacing w:after="0" w:before="0" w:line="240" w:lineRule="auto"/>
              <w:ind w:left="360" w:firstLine="0"/>
              <w:rPr>
                <w:color w:val="000000"/>
              </w:rPr>
            </w:pPr>
            <w:r w:rsidDel="00000000" w:rsidR="00000000" w:rsidRPr="00000000">
              <w:rPr>
                <w:color w:val="000000"/>
                <w:rtl w:val="0"/>
              </w:rPr>
              <w:t xml:space="preserve">Deliver service activities and manage caseloads to ensure intended outcomes for customers and the Council are delivered within agreed service standards.</w:t>
            </w:r>
          </w:p>
          <w:p w:rsidR="00000000" w:rsidDel="00000000" w:rsidP="00000000" w:rsidRDefault="00000000" w:rsidRPr="00000000" w14:paraId="00000046">
            <w:pPr>
              <w:numPr>
                <w:ilvl w:val="0"/>
                <w:numId w:val="6"/>
              </w:numPr>
              <w:spacing w:after="0" w:before="0" w:line="240" w:lineRule="auto"/>
              <w:ind w:left="360" w:firstLine="0"/>
              <w:rPr>
                <w:color w:val="000000"/>
              </w:rPr>
            </w:pPr>
            <w:r w:rsidDel="00000000" w:rsidR="00000000" w:rsidRPr="00000000">
              <w:rPr>
                <w:color w:val="000000"/>
                <w:rtl w:val="0"/>
              </w:rPr>
              <w:t xml:space="preserve">Identify and implement improvements </w:t>
            </w:r>
            <w:r w:rsidDel="00000000" w:rsidR="00000000" w:rsidRPr="00000000">
              <w:rPr>
                <w:rtl w:val="0"/>
              </w:rPr>
              <w:t xml:space="preserve">in your own</w:t>
            </w:r>
            <w:r w:rsidDel="00000000" w:rsidR="00000000" w:rsidRPr="00000000">
              <w:rPr>
                <w:color w:val="000000"/>
                <w:rtl w:val="0"/>
              </w:rPr>
              <w:t xml:space="preserve"> work area in order to deliver continuous service improvement and improved outcomes to customers.</w:t>
            </w:r>
          </w:p>
          <w:p w:rsidR="00000000" w:rsidDel="00000000" w:rsidP="00000000" w:rsidRDefault="00000000" w:rsidRPr="00000000" w14:paraId="00000047">
            <w:pPr>
              <w:numPr>
                <w:ilvl w:val="0"/>
                <w:numId w:val="6"/>
              </w:numPr>
              <w:spacing w:after="0" w:before="0" w:line="240" w:lineRule="auto"/>
              <w:ind w:left="360" w:firstLine="0"/>
              <w:rPr>
                <w:color w:val="000000"/>
              </w:rPr>
            </w:pPr>
            <w:r w:rsidDel="00000000" w:rsidR="00000000" w:rsidRPr="00000000">
              <w:rPr>
                <w:color w:val="000000"/>
                <w:rtl w:val="0"/>
              </w:rPr>
              <w:t xml:space="preserve">Liaise with customers to review service requirements and resolve problems.</w:t>
            </w:r>
          </w:p>
          <w:p w:rsidR="00000000" w:rsidDel="00000000" w:rsidP="00000000" w:rsidRDefault="00000000" w:rsidRPr="00000000" w14:paraId="00000048">
            <w:pPr>
              <w:numPr>
                <w:ilvl w:val="0"/>
                <w:numId w:val="6"/>
              </w:numPr>
              <w:spacing w:after="0" w:before="0" w:line="240" w:lineRule="auto"/>
              <w:ind w:left="360" w:firstLine="0"/>
              <w:rPr>
                <w:color w:val="000000"/>
              </w:rPr>
            </w:pPr>
            <w:r w:rsidDel="00000000" w:rsidR="00000000" w:rsidRPr="00000000">
              <w:rPr>
                <w:color w:val="000000"/>
                <w:rtl w:val="0"/>
              </w:rPr>
              <w:t xml:space="preserve">Keep up to date with changes in policy/legislation/contractual requirements in order to ensure service delivery is effective and complies with appropriate regulations.</w:t>
            </w:r>
          </w:p>
          <w:p w:rsidR="00000000" w:rsidDel="00000000" w:rsidP="00000000" w:rsidRDefault="00000000" w:rsidRPr="00000000" w14:paraId="00000049">
            <w:pPr>
              <w:spacing w:after="0" w:line="276" w:lineRule="auto"/>
              <w:rPr>
                <w:rFonts w:ascii="Calibri" w:cs="Calibri" w:eastAsia="Calibri" w:hAnsi="Calibri"/>
                <w:color w:val="00000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4D">
            <w:pPr>
              <w:spacing w:after="0" w:line="276" w:lineRule="auto"/>
              <w:rPr>
                <w:rFonts w:ascii="Calibri" w:cs="Calibri" w:eastAsia="Calibri" w:hAnsi="Calibri"/>
                <w:color w:val="000000"/>
              </w:rPr>
            </w:pPr>
            <w:r w:rsidDel="00000000" w:rsidR="00000000" w:rsidRPr="00000000">
              <w:rPr>
                <w:rFonts w:ascii="Arial" w:cs="Arial" w:eastAsia="Arial" w:hAnsi="Arial"/>
                <w:b w:val="1"/>
                <w:color w:val="000000"/>
                <w:sz w:val="20"/>
                <w:szCs w:val="20"/>
                <w:rtl w:val="0"/>
              </w:rPr>
              <w:t xml:space="preserve">Budgetary accountabilities</w:t>
            </w:r>
            <w:r w:rsidDel="00000000" w:rsidR="00000000" w:rsidRPr="00000000">
              <w:rPr>
                <w:rtl w:val="0"/>
              </w:rPr>
            </w:r>
          </w:p>
        </w:tc>
      </w:tr>
      <w:tr>
        <w:trPr>
          <w:cantSplit w:val="0"/>
          <w:tblHeader w:val="0"/>
        </w:trPr>
        <w:tc>
          <w:tcPr>
            <w:gridSpan w:val="4"/>
          </w:tcPr>
          <w:p w:rsidR="00000000" w:rsidDel="00000000" w:rsidP="00000000" w:rsidRDefault="00000000" w:rsidRPr="00000000" w14:paraId="00000051">
            <w:pPr>
              <w:numPr>
                <w:ilvl w:val="0"/>
                <w:numId w:val="6"/>
              </w:numPr>
              <w:spacing w:after="0" w:line="240" w:lineRule="auto"/>
              <w:ind w:left="357" w:hanging="357"/>
              <w:rPr>
                <w:color w:val="000000"/>
              </w:rPr>
            </w:pPr>
            <w:r w:rsidDel="00000000" w:rsidR="00000000" w:rsidRPr="00000000">
              <w:rPr>
                <w:color w:val="000000"/>
                <w:rtl w:val="0"/>
              </w:rPr>
              <w:t xml:space="preserve">There are no budgetary accountabilities undertaken by this role.</w:t>
            </w:r>
          </w:p>
          <w:p w:rsidR="00000000" w:rsidDel="00000000" w:rsidP="00000000" w:rsidRDefault="00000000" w:rsidRPr="00000000" w14:paraId="00000052">
            <w:pPr>
              <w:spacing w:after="0" w:line="240" w:lineRule="auto"/>
              <w:ind w:left="357" w:firstLine="0"/>
              <w:rPr>
                <w:color w:val="00000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56">
            <w:pPr>
              <w:spacing w:after="0" w:line="276" w:lineRule="auto"/>
              <w:rPr>
                <w:rFonts w:ascii="Calibri" w:cs="Calibri" w:eastAsia="Calibri" w:hAnsi="Calibri"/>
                <w:color w:val="000000"/>
              </w:rPr>
            </w:pPr>
            <w:r w:rsidDel="00000000" w:rsidR="00000000" w:rsidRPr="00000000">
              <w:rPr>
                <w:rFonts w:ascii="Arial" w:cs="Arial" w:eastAsia="Arial" w:hAnsi="Arial"/>
                <w:b w:val="1"/>
                <w:color w:val="000000"/>
                <w:sz w:val="20"/>
                <w:szCs w:val="20"/>
                <w:rtl w:val="0"/>
              </w:rPr>
              <w:t xml:space="preserve">Specific accountabilities</w:t>
            </w:r>
            <w:r w:rsidDel="00000000" w:rsidR="00000000" w:rsidRPr="00000000">
              <w:rPr>
                <w:rtl w:val="0"/>
              </w:rPr>
            </w:r>
          </w:p>
        </w:tc>
      </w:tr>
      <w:tr>
        <w:trPr>
          <w:cantSplit w:val="0"/>
          <w:tblHeader w:val="0"/>
        </w:trPr>
        <w:tc>
          <w:tcPr>
            <w:gridSpan w:val="4"/>
          </w:tcPr>
          <w:p w:rsidR="00000000" w:rsidDel="00000000" w:rsidP="00000000" w:rsidRDefault="00000000" w:rsidRPr="00000000" w14:paraId="0000005A">
            <w:pPr>
              <w:spacing w:after="0" w:line="240" w:lineRule="auto"/>
              <w:ind w:left="720" w:firstLine="0"/>
              <w:jc w:val="both"/>
              <w:rPr>
                <w:b w:val="1"/>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professionally accountable for the effective and efficient management of one’s case load, taking into account the need to combine one’s own responsibilities and those of the team and adhering to professional codes of conduct.</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Accountable for the safe delivery of services/innovations across a range of health care settings, with a range of health professionals, designed to meet specific targets/outcomes.</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the development of local services in line with agreed team outcomes, including writing and leading on project proposals under the supervision of the senior nurse or nurse manager.</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the clinical supervision of junior nursing staff and student nurses.</w:t>
            </w:r>
            <w:r w:rsidDel="00000000" w:rsidR="00000000" w:rsidRPr="00000000">
              <w:rPr>
                <w:rtl w:val="0"/>
              </w:rPr>
            </w:r>
          </w:p>
          <w:p w:rsidR="00000000" w:rsidDel="00000000" w:rsidP="00000000" w:rsidRDefault="00000000" w:rsidRPr="00000000" w14:paraId="0000005F">
            <w:pPr>
              <w:spacing w:after="0" w:line="240" w:lineRule="auto"/>
              <w:jc w:val="both"/>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63">
            <w:pPr>
              <w:spacing w:after="0" w:line="240" w:lineRule="auto"/>
              <w:rPr>
                <w:rFonts w:ascii="Calibri" w:cs="Calibri" w:eastAsia="Calibri" w:hAnsi="Calibri"/>
                <w:color w:val="000000"/>
              </w:rPr>
            </w:pPr>
            <w:r w:rsidDel="00000000" w:rsidR="00000000" w:rsidRPr="00000000">
              <w:rPr>
                <w:rFonts w:ascii="Arial" w:cs="Arial" w:eastAsia="Arial" w:hAnsi="Arial"/>
                <w:b w:val="1"/>
                <w:color w:val="000000"/>
                <w:sz w:val="20"/>
                <w:szCs w:val="20"/>
                <w:rtl w:val="0"/>
              </w:rPr>
              <w:t xml:space="preserve">Person specification (knowledge, skills, experience and behaviours required in the role)</w:t>
            </w:r>
            <w:r w:rsidDel="00000000" w:rsidR="00000000" w:rsidRPr="00000000">
              <w:rPr>
                <w:rtl w:val="0"/>
              </w:rPr>
            </w:r>
          </w:p>
        </w:tc>
      </w:tr>
      <w:tr>
        <w:trPr>
          <w:cantSplit w:val="0"/>
          <w:tblHeader w:val="0"/>
        </w:trPr>
        <w:tc>
          <w:tcPr>
            <w:gridSpan w:val="4"/>
          </w:tcPr>
          <w:p w:rsidR="00000000" w:rsidDel="00000000" w:rsidP="00000000" w:rsidRDefault="00000000" w:rsidRPr="00000000" w14:paraId="00000067">
            <w:pPr>
              <w:pStyle w:val="Heading4"/>
              <w:rPr>
                <w:sz w:val="22"/>
                <w:szCs w:val="22"/>
              </w:rPr>
            </w:pPr>
            <w:r w:rsidDel="00000000" w:rsidR="00000000" w:rsidRPr="00000000">
              <w:rPr>
                <w:sz w:val="22"/>
                <w:szCs w:val="22"/>
                <w:rtl w:val="0"/>
              </w:rPr>
              <w:t xml:space="preserve">Education/ Knowledge/ Qualifications</w:t>
            </w:r>
          </w:p>
          <w:p w:rsidR="00000000" w:rsidDel="00000000" w:rsidP="00000000" w:rsidRDefault="00000000" w:rsidRPr="00000000" w14:paraId="00000068">
            <w:pPr>
              <w:numPr>
                <w:ilvl w:val="0"/>
                <w:numId w:val="6"/>
              </w:numPr>
              <w:spacing w:after="0" w:line="240" w:lineRule="auto"/>
              <w:ind w:left="360" w:firstLine="0"/>
              <w:rPr/>
            </w:pPr>
            <w:r w:rsidDel="00000000" w:rsidR="00000000" w:rsidRPr="00000000">
              <w:rPr>
                <w:rtl w:val="0"/>
              </w:rPr>
              <w:t xml:space="preserve">Registered nurse qualification – Learning Disabilities (RN 5 or 6) supplemented by Diploma level specialist training, experience or short courses.</w:t>
            </w:r>
          </w:p>
          <w:p w:rsidR="00000000" w:rsidDel="00000000" w:rsidP="00000000" w:rsidRDefault="00000000" w:rsidRPr="00000000" w14:paraId="00000069">
            <w:pPr>
              <w:numPr>
                <w:ilvl w:val="0"/>
                <w:numId w:val="6"/>
              </w:numPr>
              <w:spacing w:after="0" w:line="240" w:lineRule="auto"/>
              <w:ind w:left="360" w:firstLine="0"/>
              <w:rPr/>
            </w:pPr>
            <w:r w:rsidDel="00000000" w:rsidR="00000000" w:rsidRPr="00000000">
              <w:rPr>
                <w:rtl w:val="0"/>
              </w:rPr>
              <w:t xml:space="preserve">Current NMC Licence to Practice</w:t>
            </w:r>
          </w:p>
          <w:p w:rsidR="00000000" w:rsidDel="00000000" w:rsidP="00000000" w:rsidRDefault="00000000" w:rsidRPr="00000000" w14:paraId="0000006A">
            <w:pPr>
              <w:numPr>
                <w:ilvl w:val="0"/>
                <w:numId w:val="6"/>
              </w:numPr>
              <w:spacing w:after="0" w:line="240" w:lineRule="auto"/>
              <w:ind w:left="360" w:firstLine="0"/>
              <w:rPr/>
            </w:pPr>
            <w:r w:rsidDel="00000000" w:rsidR="00000000" w:rsidRPr="00000000">
              <w:rPr>
                <w:rtl w:val="0"/>
              </w:rPr>
              <w:t xml:space="preserve">Sound level of evidence based clinical practice</w:t>
            </w:r>
          </w:p>
          <w:p w:rsidR="00000000" w:rsidDel="00000000" w:rsidP="00000000" w:rsidRDefault="00000000" w:rsidRPr="00000000" w14:paraId="0000006B">
            <w:pPr>
              <w:numPr>
                <w:ilvl w:val="0"/>
                <w:numId w:val="6"/>
              </w:numPr>
              <w:spacing w:after="0" w:line="240" w:lineRule="auto"/>
              <w:ind w:left="360" w:firstLine="0"/>
              <w:rPr/>
            </w:pPr>
            <w:r w:rsidDel="00000000" w:rsidR="00000000" w:rsidRPr="00000000">
              <w:rPr>
                <w:rtl w:val="0"/>
              </w:rPr>
              <w:t xml:space="preserve">Sound knowledge of the principals of clinical governance/ national and local policy/ good practice guidance relating to care of people with learning disabilities. In particular evidence based practice, clinical audit and the role of professional development in advancing practice</w:t>
            </w:r>
          </w:p>
          <w:p w:rsidR="00000000" w:rsidDel="00000000" w:rsidP="00000000" w:rsidRDefault="00000000" w:rsidRPr="00000000" w14:paraId="0000006C">
            <w:pPr>
              <w:spacing w:after="0" w:line="24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D">
            <w:pPr>
              <w:pStyle w:val="Heading4"/>
              <w:rPr>
                <w:sz w:val="22"/>
                <w:szCs w:val="22"/>
              </w:rPr>
            </w:pPr>
            <w:r w:rsidDel="00000000" w:rsidR="00000000" w:rsidRPr="00000000">
              <w:rPr>
                <w:sz w:val="22"/>
                <w:szCs w:val="22"/>
                <w:rtl w:val="0"/>
              </w:rPr>
              <w:t xml:space="preserve">Experience</w:t>
            </w:r>
          </w:p>
          <w:p w:rsidR="00000000" w:rsidDel="00000000" w:rsidP="00000000" w:rsidRDefault="00000000" w:rsidRPr="00000000" w14:paraId="0000006E">
            <w:pPr>
              <w:numPr>
                <w:ilvl w:val="0"/>
                <w:numId w:val="1"/>
              </w:numPr>
              <w:spacing w:after="0" w:line="240" w:lineRule="auto"/>
              <w:ind w:left="720" w:hanging="360"/>
              <w:rPr/>
            </w:pPr>
            <w:r w:rsidDel="00000000" w:rsidR="00000000" w:rsidRPr="00000000">
              <w:rPr>
                <w:rtl w:val="0"/>
              </w:rPr>
              <w:t xml:space="preserve">Demonstrable experience post qualification is desirable</w:t>
            </w:r>
          </w:p>
          <w:p w:rsidR="00000000" w:rsidDel="00000000" w:rsidP="00000000" w:rsidRDefault="00000000" w:rsidRPr="00000000" w14:paraId="0000006F">
            <w:pPr>
              <w:numPr>
                <w:ilvl w:val="0"/>
                <w:numId w:val="1"/>
              </w:numPr>
              <w:spacing w:after="0" w:line="240" w:lineRule="auto"/>
              <w:ind w:left="720" w:hanging="360"/>
              <w:rPr/>
            </w:pPr>
            <w:r w:rsidDel="00000000" w:rsidR="00000000" w:rsidRPr="00000000">
              <w:rPr>
                <w:rtl w:val="0"/>
              </w:rPr>
              <w:t xml:space="preserve">Multidisciplinary team working</w:t>
            </w:r>
          </w:p>
          <w:p w:rsidR="00000000" w:rsidDel="00000000" w:rsidP="00000000" w:rsidRDefault="00000000" w:rsidRPr="00000000" w14:paraId="00000070">
            <w:pPr>
              <w:numPr>
                <w:ilvl w:val="0"/>
                <w:numId w:val="1"/>
              </w:numPr>
              <w:spacing w:after="0" w:line="240" w:lineRule="auto"/>
              <w:ind w:left="720" w:hanging="360"/>
              <w:rPr/>
            </w:pPr>
            <w:r w:rsidDel="00000000" w:rsidR="00000000" w:rsidRPr="00000000">
              <w:rPr>
                <w:rtl w:val="0"/>
              </w:rPr>
              <w:t xml:space="preserve">Experience of working in a Community Learning Disability setting is desirable</w:t>
            </w:r>
          </w:p>
          <w:p w:rsidR="00000000" w:rsidDel="00000000" w:rsidP="00000000" w:rsidRDefault="00000000" w:rsidRPr="00000000" w14:paraId="00000071">
            <w:pPr>
              <w:spacing w:after="0" w:line="240" w:lineRule="auto"/>
              <w:rPr/>
            </w:pPr>
            <w:r w:rsidDel="00000000" w:rsidR="00000000" w:rsidRPr="00000000">
              <w:rPr>
                <w:rtl w:val="0"/>
              </w:rPr>
            </w:r>
          </w:p>
          <w:p w:rsidR="00000000" w:rsidDel="00000000" w:rsidP="00000000" w:rsidRDefault="00000000" w:rsidRPr="00000000" w14:paraId="00000072">
            <w:pPr>
              <w:pStyle w:val="Heading4"/>
              <w:rPr>
                <w:sz w:val="22"/>
                <w:szCs w:val="22"/>
              </w:rPr>
            </w:pPr>
            <w:r w:rsidDel="00000000" w:rsidR="00000000" w:rsidRPr="00000000">
              <w:rPr>
                <w:sz w:val="22"/>
                <w:szCs w:val="22"/>
                <w:rtl w:val="0"/>
              </w:rPr>
              <w:t xml:space="preserve">Skills</w:t>
            </w:r>
          </w:p>
          <w:p w:rsidR="00000000" w:rsidDel="00000000" w:rsidP="00000000" w:rsidRDefault="00000000" w:rsidRPr="00000000" w14:paraId="00000073">
            <w:pPr>
              <w:numPr>
                <w:ilvl w:val="0"/>
                <w:numId w:val="3"/>
              </w:numPr>
              <w:spacing w:after="0" w:line="240" w:lineRule="auto"/>
              <w:ind w:left="720" w:hanging="360"/>
              <w:rPr/>
            </w:pPr>
            <w:r w:rsidDel="00000000" w:rsidR="00000000" w:rsidRPr="00000000">
              <w:rPr>
                <w:rtl w:val="0"/>
              </w:rPr>
              <w:t xml:space="preserve">Ability to supervise  staff</w:t>
            </w:r>
          </w:p>
          <w:p w:rsidR="00000000" w:rsidDel="00000000" w:rsidP="00000000" w:rsidRDefault="00000000" w:rsidRPr="00000000" w14:paraId="00000074">
            <w:pPr>
              <w:numPr>
                <w:ilvl w:val="0"/>
                <w:numId w:val="3"/>
              </w:numPr>
              <w:spacing w:after="0" w:line="240" w:lineRule="auto"/>
              <w:ind w:left="720" w:hanging="360"/>
              <w:rPr/>
            </w:pPr>
            <w:r w:rsidDel="00000000" w:rsidR="00000000" w:rsidRPr="00000000">
              <w:rPr>
                <w:rtl w:val="0"/>
              </w:rPr>
              <w:t xml:space="preserve">Business skills, such as, Fwi, Google, Excel, Word</w:t>
            </w:r>
          </w:p>
          <w:p w:rsidR="00000000" w:rsidDel="00000000" w:rsidP="00000000" w:rsidRDefault="00000000" w:rsidRPr="00000000" w14:paraId="00000075">
            <w:pPr>
              <w:numPr>
                <w:ilvl w:val="0"/>
                <w:numId w:val="3"/>
              </w:numPr>
              <w:spacing w:after="0" w:line="240" w:lineRule="auto"/>
              <w:ind w:left="720" w:hanging="360"/>
              <w:rPr/>
            </w:pPr>
            <w:r w:rsidDel="00000000" w:rsidR="00000000" w:rsidRPr="00000000">
              <w:rPr>
                <w:rtl w:val="0"/>
              </w:rPr>
              <w:t xml:space="preserve">Negotiation and problem solving skills</w:t>
            </w:r>
          </w:p>
          <w:p w:rsidR="00000000" w:rsidDel="00000000" w:rsidP="00000000" w:rsidRDefault="00000000" w:rsidRPr="00000000" w14:paraId="00000076">
            <w:pPr>
              <w:numPr>
                <w:ilvl w:val="0"/>
                <w:numId w:val="3"/>
              </w:numPr>
              <w:spacing w:after="0" w:line="240" w:lineRule="auto"/>
              <w:ind w:left="720" w:hanging="360"/>
              <w:rPr/>
            </w:pPr>
            <w:r w:rsidDel="00000000" w:rsidR="00000000" w:rsidRPr="00000000">
              <w:rPr>
                <w:rtl w:val="0"/>
              </w:rPr>
              <w:t xml:space="preserve">Demonstrates good analytical and reflection skills</w:t>
            </w:r>
          </w:p>
          <w:p w:rsidR="00000000" w:rsidDel="00000000" w:rsidP="00000000" w:rsidRDefault="00000000" w:rsidRPr="00000000" w14:paraId="00000077">
            <w:pPr>
              <w:numPr>
                <w:ilvl w:val="0"/>
                <w:numId w:val="3"/>
              </w:numPr>
              <w:spacing w:after="0" w:line="240" w:lineRule="auto"/>
              <w:ind w:left="720" w:hanging="360"/>
              <w:rPr/>
            </w:pPr>
            <w:r w:rsidDel="00000000" w:rsidR="00000000" w:rsidRPr="00000000">
              <w:rPr>
                <w:rtl w:val="0"/>
              </w:rPr>
              <w:t xml:space="preserve">Excellent presentation skills </w:t>
            </w:r>
          </w:p>
          <w:p w:rsidR="00000000" w:rsidDel="00000000" w:rsidP="00000000" w:rsidRDefault="00000000" w:rsidRPr="00000000" w14:paraId="00000078">
            <w:pPr>
              <w:numPr>
                <w:ilvl w:val="0"/>
                <w:numId w:val="3"/>
              </w:numPr>
              <w:spacing w:after="0" w:line="240" w:lineRule="auto"/>
              <w:ind w:left="720" w:hanging="360"/>
              <w:rPr/>
            </w:pPr>
            <w:r w:rsidDel="00000000" w:rsidR="00000000" w:rsidRPr="00000000">
              <w:rPr>
                <w:rtl w:val="0"/>
              </w:rPr>
              <w:t xml:space="preserve">Excellent interpersonal and communication skills with client, carers and other partners, using appropriate systems</w:t>
            </w:r>
          </w:p>
          <w:p w:rsidR="00000000" w:rsidDel="00000000" w:rsidP="00000000" w:rsidRDefault="00000000" w:rsidRPr="00000000" w14:paraId="00000079">
            <w:pPr>
              <w:numPr>
                <w:ilvl w:val="0"/>
                <w:numId w:val="3"/>
              </w:numPr>
              <w:spacing w:after="0" w:line="240" w:lineRule="auto"/>
              <w:ind w:left="720" w:hanging="360"/>
              <w:rPr/>
            </w:pPr>
            <w:r w:rsidDel="00000000" w:rsidR="00000000" w:rsidRPr="00000000">
              <w:rPr>
                <w:rtl w:val="0"/>
              </w:rPr>
              <w:t xml:space="preserve">Good organisational and prioritisation skills </w:t>
            </w:r>
          </w:p>
          <w:p w:rsidR="00000000" w:rsidDel="00000000" w:rsidP="00000000" w:rsidRDefault="00000000" w:rsidRPr="00000000" w14:paraId="0000007A">
            <w:pPr>
              <w:numPr>
                <w:ilvl w:val="0"/>
                <w:numId w:val="3"/>
              </w:numPr>
              <w:spacing w:after="0" w:line="240" w:lineRule="auto"/>
              <w:ind w:left="720" w:hanging="360"/>
              <w:rPr/>
            </w:pPr>
            <w:r w:rsidDel="00000000" w:rsidR="00000000" w:rsidRPr="00000000">
              <w:rPr>
                <w:rtl w:val="0"/>
              </w:rPr>
              <w:t xml:space="preserve">Clear and effective decision making</w:t>
            </w:r>
          </w:p>
          <w:p w:rsidR="00000000" w:rsidDel="00000000" w:rsidP="00000000" w:rsidRDefault="00000000" w:rsidRPr="00000000" w14:paraId="0000007B">
            <w:pPr>
              <w:numPr>
                <w:ilvl w:val="0"/>
                <w:numId w:val="3"/>
              </w:numPr>
              <w:spacing w:after="0" w:line="240" w:lineRule="auto"/>
              <w:ind w:left="720" w:hanging="360"/>
              <w:rPr/>
            </w:pPr>
            <w:r w:rsidDel="00000000" w:rsidR="00000000" w:rsidRPr="00000000">
              <w:rPr>
                <w:rtl w:val="0"/>
              </w:rPr>
              <w:t xml:space="preserve">Ability to work autonomously as well as effectively with team members and other partner agencies</w:t>
            </w:r>
          </w:p>
          <w:p w:rsidR="00000000" w:rsidDel="00000000" w:rsidP="00000000" w:rsidRDefault="00000000" w:rsidRPr="00000000" w14:paraId="0000007C">
            <w:pPr>
              <w:numPr>
                <w:ilvl w:val="0"/>
                <w:numId w:val="3"/>
              </w:numPr>
              <w:spacing w:after="0" w:line="240" w:lineRule="auto"/>
              <w:ind w:left="720" w:hanging="360"/>
              <w:rPr/>
            </w:pPr>
            <w:r w:rsidDel="00000000" w:rsidR="00000000" w:rsidRPr="00000000">
              <w:rPr>
                <w:rtl w:val="0"/>
              </w:rPr>
              <w:t xml:space="preserve">Ability to reflect and critically appraise own performance</w:t>
            </w:r>
          </w:p>
          <w:p w:rsidR="00000000" w:rsidDel="00000000" w:rsidP="00000000" w:rsidRDefault="00000000" w:rsidRPr="00000000" w14:paraId="0000007D">
            <w:pPr>
              <w:spacing w:after="0" w:line="240" w:lineRule="auto"/>
              <w:ind w:left="72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Other</w:t>
            </w:r>
          </w:p>
          <w:p w:rsidR="00000000" w:rsidDel="00000000" w:rsidP="00000000" w:rsidRDefault="00000000" w:rsidRPr="00000000" w14:paraId="0000007F">
            <w:pPr>
              <w:numPr>
                <w:ilvl w:val="0"/>
                <w:numId w:val="2"/>
              </w:numPr>
              <w:spacing w:after="0" w:line="240" w:lineRule="auto"/>
              <w:ind w:left="720" w:hanging="360"/>
              <w:rPr/>
            </w:pPr>
            <w:r w:rsidDel="00000000" w:rsidR="00000000" w:rsidRPr="00000000">
              <w:rPr>
                <w:rtl w:val="0"/>
              </w:rPr>
              <w:t xml:space="preserve">Takes responsibility for own CPD</w:t>
            </w:r>
          </w:p>
          <w:p w:rsidR="00000000" w:rsidDel="00000000" w:rsidP="00000000" w:rsidRDefault="00000000" w:rsidRPr="00000000" w14:paraId="00000080">
            <w:pPr>
              <w:numPr>
                <w:ilvl w:val="0"/>
                <w:numId w:val="2"/>
              </w:numPr>
              <w:spacing w:after="0" w:line="240" w:lineRule="auto"/>
              <w:ind w:left="720" w:hanging="360"/>
              <w:rPr/>
            </w:pPr>
            <w:r w:rsidDel="00000000" w:rsidR="00000000" w:rsidRPr="00000000">
              <w:rPr>
                <w:rtl w:val="0"/>
              </w:rPr>
              <w:t xml:space="preserve">High levels of initiative, innovation and self-motivation</w:t>
            </w:r>
          </w:p>
          <w:p w:rsidR="00000000" w:rsidDel="00000000" w:rsidP="00000000" w:rsidRDefault="00000000" w:rsidRPr="00000000" w14:paraId="00000081">
            <w:pPr>
              <w:numPr>
                <w:ilvl w:val="0"/>
                <w:numId w:val="2"/>
              </w:numPr>
              <w:spacing w:after="0" w:line="240" w:lineRule="auto"/>
              <w:ind w:left="720" w:hanging="360"/>
              <w:rPr/>
            </w:pPr>
            <w:r w:rsidDel="00000000" w:rsidR="00000000" w:rsidRPr="00000000">
              <w:rPr>
                <w:rtl w:val="0"/>
              </w:rPr>
              <w:t xml:space="preserve">Flexible</w:t>
            </w:r>
          </w:p>
          <w:p w:rsidR="00000000" w:rsidDel="00000000" w:rsidP="00000000" w:rsidRDefault="00000000" w:rsidRPr="00000000" w14:paraId="00000082">
            <w:pPr>
              <w:numPr>
                <w:ilvl w:val="0"/>
                <w:numId w:val="2"/>
              </w:numPr>
              <w:spacing w:after="0" w:line="240" w:lineRule="auto"/>
              <w:ind w:left="720" w:hanging="360"/>
              <w:rPr>
                <w:rFonts w:ascii="Calibri" w:cs="Calibri" w:eastAsia="Calibri" w:hAnsi="Calibri"/>
                <w:color w:val="000000"/>
                <w:sz w:val="20"/>
                <w:szCs w:val="20"/>
              </w:rPr>
            </w:pPr>
            <w:r w:rsidDel="00000000" w:rsidR="00000000" w:rsidRPr="00000000">
              <w:rPr>
                <w:rtl w:val="0"/>
              </w:rPr>
              <w:t xml:space="preserve">Car Driver/Owner and ability to travel</w:t>
            </w:r>
            <w:r w:rsidDel="00000000" w:rsidR="00000000" w:rsidRPr="00000000">
              <w:rPr>
                <w:rtl w:val="0"/>
              </w:rPr>
            </w:r>
          </w:p>
        </w:tc>
      </w:tr>
      <w:tr>
        <w:trPr>
          <w:cantSplit w:val="0"/>
          <w:tblHeader w:val="0"/>
        </w:trPr>
        <w:tc>
          <w:tcPr>
            <w:gridSpan w:val="4"/>
          </w:tcPr>
          <w:p w:rsidR="00000000" w:rsidDel="00000000" w:rsidP="00000000" w:rsidRDefault="00000000" w:rsidRPr="00000000" w14:paraId="00000086">
            <w:pPr>
              <w:spacing w:after="200" w:line="276" w:lineRule="auto"/>
              <w:rPr>
                <w:rFonts w:ascii="Calibri" w:cs="Calibri" w:eastAsia="Calibri" w:hAnsi="Calibri"/>
                <w:color w:val="000000"/>
              </w:rPr>
            </w:pPr>
            <w:r w:rsidDel="00000000" w:rsidR="00000000" w:rsidRPr="00000000">
              <w:rPr>
                <w:rFonts w:ascii="Arial" w:cs="Arial" w:eastAsia="Arial" w:hAnsi="Arial"/>
                <w:color w:val="000000"/>
                <w:sz w:val="20"/>
                <w:szCs w:val="20"/>
                <w:rtl w:val="0"/>
              </w:rPr>
              <w:t xml:space="preserve">Mandatory accountabilities/requirements for all LBS staff e.g. </w:t>
            </w:r>
            <w:r w:rsidDel="00000000" w:rsidR="00000000" w:rsidRPr="00000000">
              <w:rPr>
                <w:rtl w:val="0"/>
              </w:rPr>
            </w:r>
          </w:p>
          <w:p w:rsidR="00000000" w:rsidDel="00000000" w:rsidP="00000000" w:rsidRDefault="00000000" w:rsidRPr="00000000" w14:paraId="00000087">
            <w:pPr>
              <w:numPr>
                <w:ilvl w:val="0"/>
                <w:numId w:val="6"/>
              </w:numPr>
              <w:spacing w:after="0" w:before="40" w:line="240" w:lineRule="auto"/>
              <w:ind w:left="360" w:firstLine="0"/>
              <w:rPr>
                <w:rFonts w:ascii="Calibri" w:cs="Calibri" w:eastAsia="Calibri" w:hAnsi="Calibri"/>
                <w:color w:val="000000"/>
                <w:sz w:val="20"/>
                <w:szCs w:val="20"/>
              </w:rPr>
            </w:pPr>
            <w:r w:rsidDel="00000000" w:rsidR="00000000" w:rsidRPr="00000000">
              <w:rPr>
                <w:rFonts w:ascii="Arial" w:cs="Arial" w:eastAsia="Arial" w:hAnsi="Arial"/>
                <w:color w:val="000000"/>
                <w:sz w:val="20"/>
                <w:szCs w:val="20"/>
                <w:rtl w:val="0"/>
              </w:rPr>
              <w:t xml:space="preserve">Ensure all health and safety standards are adhered to for the relevant work area</w:t>
            </w:r>
            <w:r w:rsidDel="00000000" w:rsidR="00000000" w:rsidRPr="00000000">
              <w:rPr>
                <w:rtl w:val="0"/>
              </w:rPr>
            </w:r>
          </w:p>
          <w:p w:rsidR="00000000" w:rsidDel="00000000" w:rsidP="00000000" w:rsidRDefault="00000000" w:rsidRPr="00000000" w14:paraId="00000088">
            <w:pPr>
              <w:numPr>
                <w:ilvl w:val="0"/>
                <w:numId w:val="6"/>
              </w:numPr>
              <w:spacing w:after="0" w:line="240" w:lineRule="auto"/>
              <w:ind w:left="360" w:firstLine="0"/>
              <w:rPr>
                <w:rFonts w:ascii="Calibri" w:cs="Calibri" w:eastAsia="Calibri" w:hAnsi="Calibri"/>
                <w:color w:val="000000"/>
                <w:sz w:val="20"/>
                <w:szCs w:val="20"/>
              </w:rPr>
            </w:pPr>
            <w:r w:rsidDel="00000000" w:rsidR="00000000" w:rsidRPr="00000000">
              <w:rPr>
                <w:rFonts w:ascii="Arial" w:cs="Arial" w:eastAsia="Arial" w:hAnsi="Arial"/>
                <w:color w:val="000000"/>
                <w:sz w:val="20"/>
                <w:szCs w:val="20"/>
                <w:rtl w:val="0"/>
              </w:rPr>
              <w:t xml:space="preserve">Apply diversity and equal opportunities policies in the workplace </w:t>
            </w:r>
            <w:r w:rsidDel="00000000" w:rsidR="00000000" w:rsidRPr="00000000">
              <w:rPr>
                <w:rtl w:val="0"/>
              </w:rPr>
            </w:r>
          </w:p>
          <w:p w:rsidR="00000000" w:rsidDel="00000000" w:rsidP="00000000" w:rsidRDefault="00000000" w:rsidRPr="00000000" w14:paraId="00000089">
            <w:pPr>
              <w:numPr>
                <w:ilvl w:val="0"/>
                <w:numId w:val="6"/>
              </w:numPr>
              <w:spacing w:after="0" w:line="240" w:lineRule="auto"/>
              <w:ind w:left="360" w:firstLine="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Carry out duties in accordance with the Borough’s Equalities and Diversity policy, Safeguarding Adults policy and all other Borough and departmental policies and procedures</w:t>
            </w:r>
            <w:r w:rsidDel="00000000" w:rsidR="00000000" w:rsidRPr="00000000">
              <w:rPr>
                <w:rtl w:val="0"/>
              </w:rPr>
            </w:r>
          </w:p>
          <w:p w:rsidR="00000000" w:rsidDel="00000000" w:rsidP="00000000" w:rsidRDefault="00000000" w:rsidRPr="00000000" w14:paraId="0000008A">
            <w:pPr>
              <w:spacing w:after="0" w:line="240" w:lineRule="auto"/>
              <w:ind w:left="36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B">
            <w:pPr>
              <w:spacing w:after="0" w:line="24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8C">
            <w:pPr>
              <w:spacing w:after="0" w:line="240" w:lineRule="auto"/>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090">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1">
      <w:pPr>
        <w:spacing w:after="200" w:line="276" w:lineRule="auto"/>
        <w:rPr/>
      </w:pPr>
      <w:bookmarkStart w:colFirst="0" w:colLast="0" w:name="_heading=h.gjdgxs" w:id="0"/>
      <w:bookmarkEnd w:id="0"/>
      <w:r w:rsidDel="00000000" w:rsidR="00000000" w:rsidRPr="00000000">
        <w:br w:type="page"/>
      </w: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spacing w:after="0" w:line="240" w:lineRule="auto"/>
    </w:pPr>
    <w:rPr>
      <w:rFonts w:ascii="Arial" w:cs="Arial" w:eastAsia="Arial" w:hAnsi="Arial"/>
      <w:b w:val="1"/>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style>
  <w:style w:type="paragraph" w:styleId="Heading4">
    <w:name w:val="heading 4"/>
    <w:basedOn w:val="Normal"/>
    <w:next w:val="Normal"/>
    <w:link w:val="Heading4Char"/>
    <w:qFormat w:val="1"/>
    <w:rsid w:val="00E948B4"/>
    <w:pPr>
      <w:keepNext w:val="1"/>
      <w:spacing w:after="0" w:line="240" w:lineRule="auto"/>
      <w:outlineLvl w:val="3"/>
    </w:pPr>
    <w:rPr>
      <w:rFonts w:ascii="Arial" w:cs="Arial" w:eastAsia="Times New Roman" w:hAnsi="Arial"/>
      <w:b w:val="1"/>
      <w:sz w:val="20"/>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06F46"/>
    <w:pPr>
      <w:spacing w:after="200" w:line="276" w:lineRule="auto"/>
      <w:ind w:left="720"/>
      <w:contextualSpacing w:val="1"/>
    </w:pPr>
    <w:rPr>
      <w:rFonts w:ascii="Arial" w:hAnsi="Arial"/>
      <w:sz w:val="24"/>
    </w:rPr>
  </w:style>
  <w:style w:type="paragraph" w:styleId="BalloonText">
    <w:name w:val="Balloon Text"/>
    <w:basedOn w:val="Normal"/>
    <w:link w:val="BalloonTextChar"/>
    <w:uiPriority w:val="99"/>
    <w:semiHidden w:val="1"/>
    <w:unhideWhenUsed w:val="1"/>
    <w:rsid w:val="00B06F4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06F46"/>
    <w:rPr>
      <w:rFonts w:ascii="Segoe UI" w:cs="Segoe UI" w:hAnsi="Segoe UI"/>
      <w:sz w:val="18"/>
      <w:szCs w:val="18"/>
    </w:rPr>
  </w:style>
  <w:style w:type="paragraph" w:styleId="BodyText">
    <w:name w:val="Body Text"/>
    <w:basedOn w:val="Normal"/>
    <w:link w:val="BodyTextChar"/>
    <w:rsid w:val="00B06F46"/>
    <w:pPr>
      <w:spacing w:after="0" w:line="240" w:lineRule="auto"/>
    </w:pPr>
    <w:rPr>
      <w:rFonts w:ascii="Arial" w:cs="Arial" w:eastAsia="Times New Roman" w:hAnsi="Arial"/>
      <w:bCs w:val="1"/>
      <w:sz w:val="24"/>
      <w:szCs w:val="24"/>
    </w:rPr>
  </w:style>
  <w:style w:type="character" w:styleId="BodyTextChar" w:customStyle="1">
    <w:name w:val="Body Text Char"/>
    <w:basedOn w:val="DefaultParagraphFont"/>
    <w:link w:val="BodyText"/>
    <w:rsid w:val="00B06F46"/>
    <w:rPr>
      <w:rFonts w:ascii="Arial" w:cs="Arial" w:eastAsia="Times New Roman" w:hAnsi="Arial"/>
      <w:bCs w:val="1"/>
      <w:sz w:val="24"/>
      <w:szCs w:val="24"/>
    </w:rPr>
  </w:style>
  <w:style w:type="paragraph" w:styleId="BodyTextIndent">
    <w:name w:val="Body Text Indent"/>
    <w:basedOn w:val="Normal"/>
    <w:link w:val="BodyTextIndentChar"/>
    <w:uiPriority w:val="99"/>
    <w:unhideWhenUsed w:val="1"/>
    <w:rsid w:val="00E948B4"/>
    <w:pPr>
      <w:spacing w:after="120" w:line="276" w:lineRule="auto"/>
      <w:ind w:left="283"/>
    </w:pPr>
    <w:rPr>
      <w:rFonts w:ascii="Arial" w:hAnsi="Arial"/>
      <w:sz w:val="24"/>
    </w:rPr>
  </w:style>
  <w:style w:type="character" w:styleId="BodyTextIndentChar" w:customStyle="1">
    <w:name w:val="Body Text Indent Char"/>
    <w:basedOn w:val="DefaultParagraphFont"/>
    <w:link w:val="BodyTextIndent"/>
    <w:uiPriority w:val="99"/>
    <w:rsid w:val="00E948B4"/>
    <w:rPr>
      <w:rFonts w:ascii="Arial" w:hAnsi="Arial"/>
      <w:sz w:val="24"/>
    </w:rPr>
  </w:style>
  <w:style w:type="character" w:styleId="Heading4Char" w:customStyle="1">
    <w:name w:val="Heading 4 Char"/>
    <w:basedOn w:val="DefaultParagraphFont"/>
    <w:link w:val="Heading4"/>
    <w:rsid w:val="00E948B4"/>
    <w:rPr>
      <w:rFonts w:ascii="Arial" w:cs="Arial" w:eastAsia="Times New Roman" w:hAnsi="Arial"/>
      <w:b w:val="1"/>
      <w:sz w:val="20"/>
      <w:szCs w:val="24"/>
    </w:rPr>
  </w:style>
  <w:style w:type="paragraph" w:styleId="Title">
    <w:name w:val="Title"/>
    <w:basedOn w:val="Normal"/>
    <w:qFormat w:val="1"/>
    <w:pPr>
      <w:spacing w:after="300"/>
    </w:pPr>
    <w:rPr>
      <w:color w:val="17365d"/>
      <w:sz w:val="52"/>
    </w:rPr>
  </w:style>
  <w:style w:type="paragraph" w:styleId="Subtitle">
    <w:name w:val="Subtitle"/>
    <w:basedOn w:val="Normal"/>
    <w:qFormat w:val="1"/>
    <w:rPr>
      <w:i w:val="1"/>
      <w:color w:val="4f81bd"/>
      <w:sz w:val="24"/>
    </w:rPr>
  </w:style>
  <w:style w:type="paragraph" w:styleId="Heading1">
    <w:name w:val="Heading 1"/>
    <w:basedOn w:val="Normal"/>
    <w:qFormat w:val="1"/>
    <w:pPr>
      <w:spacing w:before="480"/>
    </w:pPr>
    <w:rPr>
      <w:b w:val="1"/>
      <w:color w:val="345a8a"/>
      <w:sz w:val="32"/>
    </w:rPr>
  </w:style>
  <w:style w:type="paragraph" w:styleId="Heading2">
    <w:name w:val="Heading 2"/>
    <w:basedOn w:val="Normal"/>
    <w:qFormat w:val="1"/>
    <w:pPr>
      <w:spacing w:before="200"/>
    </w:pPr>
    <w:rPr>
      <w:b w:val="1"/>
      <w:color w:val="4f81bd"/>
      <w:sz w:val="26"/>
    </w:rPr>
  </w:style>
  <w:style w:type="paragraph" w:styleId="Heading3">
    <w:name w:val="Heading 3"/>
    <w:basedOn w:val="Normal"/>
    <w:qFormat w:val="1"/>
    <w:pPr>
      <w:spacing w:before="200"/>
    </w:pPr>
    <w:rPr>
      <w:b w:val="1"/>
      <w:color w:val="4f81bd"/>
      <w:sz w:val="24"/>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0lcdzSY8jRK/R8eRgTRK5sAh7Q==">AMUW2mUcMAlSqzoJ44/byZp9rPeff8SnvZp9ttEs1o0E6jZe0eNJeGcaUtGz7D9sbyoVo3+CLx/USMBjViCo4n8UuDlHr2xsiTVxmkelywLzPDEiKwCxLHPy9166FsM8RKnrnGbIZXCE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2016-08-10T10:39:00Z</dcterms:created>
  <dc:creator>Priam Samuel</dc:creator>
</cp:coreProperties>
</file>